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E73C" w14:textId="32CF28E0" w:rsidR="00BD0DC2" w:rsidRDefault="004D3121" w:rsidP="002D09E8">
      <w:pPr>
        <w:jc w:val="center"/>
        <w:rPr>
          <w:sz w:val="36"/>
          <w:szCs w:val="36"/>
        </w:rPr>
      </w:pPr>
      <w:r>
        <w:rPr>
          <w:sz w:val="36"/>
          <w:szCs w:val="36"/>
        </w:rPr>
        <w:t xml:space="preserve">Vademecum </w:t>
      </w:r>
      <w:r w:rsidR="002D09E8" w:rsidRPr="002D09E8">
        <w:rPr>
          <w:sz w:val="36"/>
          <w:szCs w:val="36"/>
        </w:rPr>
        <w:t>formulaire de demande financement PIA de l’Alliance 2025 SFRI</w:t>
      </w:r>
    </w:p>
    <w:p w14:paraId="08FD1972" w14:textId="77777777" w:rsidR="002D09E8" w:rsidRPr="002D09E8" w:rsidRDefault="002D09E8" w:rsidP="004D3121">
      <w:pPr>
        <w:rPr>
          <w:sz w:val="36"/>
          <w:szCs w:val="36"/>
        </w:rPr>
      </w:pPr>
    </w:p>
    <w:p w14:paraId="7134AD21" w14:textId="77777777" w:rsidR="002D09E8" w:rsidRDefault="002D09E8" w:rsidP="004D3121">
      <w:pPr>
        <w:rPr>
          <w:sz w:val="22"/>
        </w:rPr>
      </w:pPr>
    </w:p>
    <w:p w14:paraId="29147D45" w14:textId="70C5D977" w:rsidR="004D3121" w:rsidRDefault="004D3121" w:rsidP="004D3121">
      <w:pPr>
        <w:rPr>
          <w:sz w:val="22"/>
        </w:rPr>
      </w:pPr>
      <w:r w:rsidRPr="004D3121">
        <w:rPr>
          <w:sz w:val="22"/>
        </w:rPr>
        <w:t>Afin de pou</w:t>
      </w:r>
      <w:r>
        <w:rPr>
          <w:sz w:val="22"/>
        </w:rPr>
        <w:t>voir arbitrer sur l’attribution des crédits correspondants à chaque projet, les porteurs doivent compléter le formulaire de demande financement PIA de l’Alliance 2025 SFRI.</w:t>
      </w:r>
    </w:p>
    <w:p w14:paraId="07633EBC" w14:textId="77777777" w:rsidR="004D3121" w:rsidRDefault="004D3121" w:rsidP="004D3121">
      <w:pPr>
        <w:rPr>
          <w:sz w:val="22"/>
        </w:rPr>
      </w:pPr>
    </w:p>
    <w:p w14:paraId="4C18F564" w14:textId="2E459E54" w:rsidR="004D3121" w:rsidRDefault="004D3121" w:rsidP="004D3121">
      <w:pPr>
        <w:rPr>
          <w:sz w:val="22"/>
        </w:rPr>
      </w:pPr>
      <w:r>
        <w:rPr>
          <w:sz w:val="22"/>
        </w:rPr>
        <w:t xml:space="preserve">Seul l’onglet </w:t>
      </w:r>
      <w:r w:rsidRPr="008C47C7">
        <w:rPr>
          <w:b/>
          <w:bCs/>
          <w:sz w:val="22"/>
          <w:u w:val="single"/>
        </w:rPr>
        <w:t>annexe financière</w:t>
      </w:r>
      <w:r>
        <w:rPr>
          <w:sz w:val="22"/>
        </w:rPr>
        <w:t xml:space="preserve"> doit être complété. Les cellules qui ne doivent pas être modifiées sont verrouillées. </w:t>
      </w:r>
    </w:p>
    <w:p w14:paraId="51E0349D" w14:textId="214F416E" w:rsidR="004D3121" w:rsidRDefault="004D3121" w:rsidP="004D3121">
      <w:pPr>
        <w:rPr>
          <w:sz w:val="22"/>
        </w:rPr>
      </w:pPr>
    </w:p>
    <w:p w14:paraId="788DDCFE" w14:textId="3FD7CBCA" w:rsidR="004D3121" w:rsidRDefault="004D3121" w:rsidP="004D3121">
      <w:pPr>
        <w:rPr>
          <w:sz w:val="22"/>
        </w:rPr>
      </w:pPr>
      <w:r>
        <w:rPr>
          <w:noProof/>
          <w:sz w:val="22"/>
        </w:rPr>
        <w:drawing>
          <wp:inline distT="0" distB="0" distL="0" distR="0" wp14:anchorId="133EA247" wp14:editId="34E8AB83">
            <wp:extent cx="6096000" cy="3543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3543300"/>
                    </a:xfrm>
                    <a:prstGeom prst="rect">
                      <a:avLst/>
                    </a:prstGeom>
                    <a:noFill/>
                    <a:ln>
                      <a:noFill/>
                    </a:ln>
                  </pic:spPr>
                </pic:pic>
              </a:graphicData>
            </a:graphic>
          </wp:inline>
        </w:drawing>
      </w:r>
    </w:p>
    <w:p w14:paraId="54B1E4F7" w14:textId="661F6171" w:rsidR="004D3121" w:rsidRDefault="004D3121" w:rsidP="004D3121">
      <w:pPr>
        <w:rPr>
          <w:sz w:val="22"/>
        </w:rPr>
      </w:pPr>
    </w:p>
    <w:p w14:paraId="5CEA116D" w14:textId="57A30AE8" w:rsidR="004D3121" w:rsidRDefault="004D3121" w:rsidP="004D3121">
      <w:pPr>
        <w:rPr>
          <w:sz w:val="22"/>
        </w:rPr>
      </w:pPr>
      <w:r>
        <w:rPr>
          <w:sz w:val="22"/>
        </w:rPr>
        <w:t xml:space="preserve">Concernant les </w:t>
      </w:r>
      <w:r w:rsidRPr="008C47C7">
        <w:rPr>
          <w:b/>
          <w:bCs/>
          <w:sz w:val="22"/>
          <w:u w:val="single"/>
        </w:rPr>
        <w:t>détails du projet</w:t>
      </w:r>
      <w:r>
        <w:rPr>
          <w:sz w:val="22"/>
        </w:rPr>
        <w:t>, tous les éléments doivent être complétés sauf, pour une première demande, les items relatifs à la récurrence.</w:t>
      </w:r>
    </w:p>
    <w:p w14:paraId="24E6504F" w14:textId="32A39B00" w:rsidR="004D3121" w:rsidRDefault="004D3121" w:rsidP="004D3121">
      <w:pPr>
        <w:rPr>
          <w:sz w:val="22"/>
        </w:rPr>
      </w:pPr>
    </w:p>
    <w:p w14:paraId="497E2099" w14:textId="0A0E19EC" w:rsidR="004D3121" w:rsidRDefault="004D3121" w:rsidP="004D3121">
      <w:pPr>
        <w:rPr>
          <w:sz w:val="22"/>
        </w:rPr>
      </w:pPr>
      <w:r>
        <w:rPr>
          <w:noProof/>
        </w:rPr>
        <w:drawing>
          <wp:inline distT="0" distB="0" distL="0" distR="0" wp14:anchorId="50EA4186" wp14:editId="02121075">
            <wp:extent cx="6120130" cy="14960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496060"/>
                    </a:xfrm>
                    <a:prstGeom prst="rect">
                      <a:avLst/>
                    </a:prstGeom>
                  </pic:spPr>
                </pic:pic>
              </a:graphicData>
            </a:graphic>
          </wp:inline>
        </w:drawing>
      </w:r>
    </w:p>
    <w:p w14:paraId="5A0515CD" w14:textId="2C5E87B3" w:rsidR="004D3121" w:rsidRDefault="004D3121" w:rsidP="004D3121">
      <w:pPr>
        <w:rPr>
          <w:sz w:val="22"/>
        </w:rPr>
      </w:pPr>
    </w:p>
    <w:p w14:paraId="41889639" w14:textId="42F36385" w:rsidR="004D3121" w:rsidRDefault="004D3121" w:rsidP="004D3121">
      <w:pPr>
        <w:rPr>
          <w:sz w:val="22"/>
        </w:rPr>
      </w:pPr>
      <w:r>
        <w:rPr>
          <w:sz w:val="22"/>
        </w:rPr>
        <w:t xml:space="preserve">Les éléments relatifs au </w:t>
      </w:r>
      <w:r w:rsidRPr="004D3121">
        <w:rPr>
          <w:b/>
          <w:bCs/>
          <w:sz w:val="22"/>
          <w:u w:val="single"/>
        </w:rPr>
        <w:t>portage du projet</w:t>
      </w:r>
      <w:r>
        <w:rPr>
          <w:sz w:val="22"/>
        </w:rPr>
        <w:t xml:space="preserve"> permettent une éventuelle prise de contact de la Direction du Budget et des Finances au moment de l’installation des crédits.</w:t>
      </w:r>
    </w:p>
    <w:p w14:paraId="0E3DCB86" w14:textId="77777777" w:rsidR="004D3121" w:rsidRDefault="004D3121" w:rsidP="004D3121">
      <w:pPr>
        <w:rPr>
          <w:sz w:val="22"/>
        </w:rPr>
      </w:pPr>
    </w:p>
    <w:p w14:paraId="5C3A4DC6" w14:textId="66332580" w:rsidR="004D3121" w:rsidRDefault="004D3121" w:rsidP="004D3121">
      <w:pPr>
        <w:rPr>
          <w:sz w:val="22"/>
        </w:rPr>
      </w:pPr>
      <w:r>
        <w:rPr>
          <w:noProof/>
        </w:rPr>
        <w:drawing>
          <wp:inline distT="0" distB="0" distL="0" distR="0" wp14:anchorId="5BD5EA34" wp14:editId="04EA5228">
            <wp:extent cx="6120130" cy="12020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202055"/>
                    </a:xfrm>
                    <a:prstGeom prst="rect">
                      <a:avLst/>
                    </a:prstGeom>
                  </pic:spPr>
                </pic:pic>
              </a:graphicData>
            </a:graphic>
          </wp:inline>
        </w:drawing>
      </w:r>
    </w:p>
    <w:p w14:paraId="53328BEC" w14:textId="458C033C" w:rsidR="004D3121" w:rsidRDefault="004D3121" w:rsidP="004D3121">
      <w:pPr>
        <w:rPr>
          <w:sz w:val="22"/>
        </w:rPr>
      </w:pPr>
    </w:p>
    <w:p w14:paraId="2764FF59" w14:textId="23479F3A" w:rsidR="004D3121" w:rsidRDefault="004D3121" w:rsidP="004D3121">
      <w:pPr>
        <w:rPr>
          <w:sz w:val="22"/>
        </w:rPr>
      </w:pPr>
      <w:r>
        <w:rPr>
          <w:sz w:val="22"/>
        </w:rPr>
        <w:t xml:space="preserve">Concernant la </w:t>
      </w:r>
      <w:r w:rsidRPr="004D3121">
        <w:rPr>
          <w:b/>
          <w:bCs/>
          <w:sz w:val="22"/>
        </w:rPr>
        <w:t>masse salariale</w:t>
      </w:r>
      <w:r>
        <w:rPr>
          <w:sz w:val="22"/>
        </w:rPr>
        <w:t>, seul le nombre d’heures pour chaque année doit être complété. Le coût est ensuite calculé automatiquement et ventilé par année.</w:t>
      </w:r>
    </w:p>
    <w:p w14:paraId="14AA6B3E" w14:textId="45EBAD0B" w:rsidR="004D3121" w:rsidRDefault="004D3121" w:rsidP="004D3121">
      <w:pPr>
        <w:rPr>
          <w:sz w:val="22"/>
        </w:rPr>
      </w:pPr>
    </w:p>
    <w:p w14:paraId="7D5A56BC" w14:textId="06D42C08" w:rsidR="004D3121" w:rsidRDefault="004D3121" w:rsidP="004D3121">
      <w:pPr>
        <w:rPr>
          <w:sz w:val="22"/>
        </w:rPr>
      </w:pPr>
      <w:r>
        <w:rPr>
          <w:noProof/>
        </w:rPr>
        <w:drawing>
          <wp:inline distT="0" distB="0" distL="0" distR="0" wp14:anchorId="7F313AF8" wp14:editId="4EFD4B00">
            <wp:extent cx="6120130" cy="2148205"/>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2148205"/>
                    </a:xfrm>
                    <a:prstGeom prst="rect">
                      <a:avLst/>
                    </a:prstGeom>
                  </pic:spPr>
                </pic:pic>
              </a:graphicData>
            </a:graphic>
          </wp:inline>
        </w:drawing>
      </w:r>
    </w:p>
    <w:p w14:paraId="14A9E169" w14:textId="54393CF4" w:rsidR="008C47C7" w:rsidRDefault="008C47C7" w:rsidP="004D3121">
      <w:pPr>
        <w:rPr>
          <w:sz w:val="22"/>
        </w:rPr>
      </w:pPr>
    </w:p>
    <w:p w14:paraId="32E4453E" w14:textId="75BC5A07" w:rsidR="008C47C7" w:rsidRDefault="008C47C7" w:rsidP="004D3121">
      <w:pPr>
        <w:rPr>
          <w:sz w:val="22"/>
        </w:rPr>
      </w:pPr>
      <w:r>
        <w:rPr>
          <w:sz w:val="22"/>
        </w:rPr>
        <w:t xml:space="preserve">Pour les </w:t>
      </w:r>
      <w:r w:rsidRPr="008C47C7">
        <w:rPr>
          <w:b/>
          <w:bCs/>
          <w:sz w:val="22"/>
          <w:u w:val="single"/>
        </w:rPr>
        <w:t>gratifications de stage</w:t>
      </w:r>
      <w:r>
        <w:rPr>
          <w:sz w:val="22"/>
        </w:rPr>
        <w:t>, il est impératif de préciser le montant souhaité. Les arbitrages seront effectués a posteriori en lien avec les niveaux facultaires</w:t>
      </w:r>
      <w:r w:rsidR="00DE5427">
        <w:rPr>
          <w:sz w:val="22"/>
        </w:rPr>
        <w:t xml:space="preserve"> et les établissements partenaires</w:t>
      </w:r>
      <w:r>
        <w:rPr>
          <w:sz w:val="22"/>
        </w:rPr>
        <w:t xml:space="preserve">. </w:t>
      </w:r>
    </w:p>
    <w:p w14:paraId="794D79AB" w14:textId="2C419314" w:rsidR="008C47C7" w:rsidRDefault="008C47C7" w:rsidP="004D3121">
      <w:pPr>
        <w:rPr>
          <w:sz w:val="22"/>
        </w:rPr>
      </w:pPr>
    </w:p>
    <w:p w14:paraId="6AB426C7" w14:textId="0BB40F2E" w:rsidR="008C47C7" w:rsidRDefault="008C47C7" w:rsidP="004D3121">
      <w:pPr>
        <w:rPr>
          <w:sz w:val="22"/>
        </w:rPr>
      </w:pPr>
      <w:r>
        <w:rPr>
          <w:noProof/>
        </w:rPr>
        <w:drawing>
          <wp:inline distT="0" distB="0" distL="0" distR="0" wp14:anchorId="65D40E5A" wp14:editId="1337760E">
            <wp:extent cx="3895725" cy="3714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5725" cy="371475"/>
                    </a:xfrm>
                    <a:prstGeom prst="rect">
                      <a:avLst/>
                    </a:prstGeom>
                  </pic:spPr>
                </pic:pic>
              </a:graphicData>
            </a:graphic>
          </wp:inline>
        </w:drawing>
      </w:r>
    </w:p>
    <w:p w14:paraId="15B714A1" w14:textId="416EC161" w:rsidR="008C47C7" w:rsidRDefault="008C47C7" w:rsidP="004D3121">
      <w:pPr>
        <w:rPr>
          <w:sz w:val="22"/>
        </w:rPr>
      </w:pPr>
    </w:p>
    <w:p w14:paraId="50FD7EA7" w14:textId="27ED6B7E" w:rsidR="008C47C7" w:rsidRDefault="008C47C7" w:rsidP="004D3121">
      <w:pPr>
        <w:rPr>
          <w:sz w:val="22"/>
        </w:rPr>
      </w:pPr>
      <w:r>
        <w:rPr>
          <w:sz w:val="22"/>
        </w:rPr>
        <w:t xml:space="preserve">Concernant le </w:t>
      </w:r>
      <w:r w:rsidRPr="008C47C7">
        <w:rPr>
          <w:b/>
          <w:bCs/>
          <w:sz w:val="22"/>
          <w:u w:val="single"/>
        </w:rPr>
        <w:t>fonctionnement</w:t>
      </w:r>
      <w:r>
        <w:rPr>
          <w:sz w:val="22"/>
        </w:rPr>
        <w:t>, les besoins par année doivent être précisés.</w:t>
      </w:r>
    </w:p>
    <w:p w14:paraId="5A419272" w14:textId="209BF8CE" w:rsidR="008C47C7" w:rsidRDefault="008C47C7" w:rsidP="004D3121">
      <w:pPr>
        <w:rPr>
          <w:sz w:val="22"/>
        </w:rPr>
      </w:pPr>
    </w:p>
    <w:p w14:paraId="1AA4C510" w14:textId="04BF665B" w:rsidR="008C47C7" w:rsidRDefault="008C47C7" w:rsidP="004D3121">
      <w:pPr>
        <w:rPr>
          <w:sz w:val="22"/>
        </w:rPr>
      </w:pPr>
      <w:r>
        <w:rPr>
          <w:noProof/>
        </w:rPr>
        <w:drawing>
          <wp:inline distT="0" distB="0" distL="0" distR="0" wp14:anchorId="3128D730" wp14:editId="60C871B7">
            <wp:extent cx="6120130" cy="120396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1203960"/>
                    </a:xfrm>
                    <a:prstGeom prst="rect">
                      <a:avLst/>
                    </a:prstGeom>
                  </pic:spPr>
                </pic:pic>
              </a:graphicData>
            </a:graphic>
          </wp:inline>
        </w:drawing>
      </w:r>
    </w:p>
    <w:p w14:paraId="3DC6619D" w14:textId="33988696" w:rsidR="008C47C7" w:rsidRDefault="008C47C7" w:rsidP="004D3121">
      <w:pPr>
        <w:rPr>
          <w:sz w:val="22"/>
        </w:rPr>
      </w:pPr>
    </w:p>
    <w:p w14:paraId="7D6FF238" w14:textId="64C50D1D" w:rsidR="008C47C7" w:rsidRDefault="008C47C7" w:rsidP="004D3121">
      <w:pPr>
        <w:rPr>
          <w:sz w:val="22"/>
        </w:rPr>
      </w:pPr>
      <w:r w:rsidRPr="008C47C7">
        <w:rPr>
          <w:b/>
          <w:bCs/>
          <w:sz w:val="22"/>
          <w:u w:val="single"/>
        </w:rPr>
        <w:lastRenderedPageBreak/>
        <w:t>Attention </w:t>
      </w:r>
      <w:r>
        <w:rPr>
          <w:sz w:val="22"/>
        </w:rPr>
        <w:t xml:space="preserve">: </w:t>
      </w:r>
      <w:r w:rsidRPr="008C47C7">
        <w:rPr>
          <w:sz w:val="22"/>
        </w:rPr>
        <w:t>Les demandes de financement en fonctionnement pour les écoles d’été sont plafonnées à deux écoles d’été (qu’il s’agisse d’écoles d’été doctorales et /ou d’écoles d’été en master) d’un montant maximal de 10 000 euros par école d’été. En outre, dans la mesure où les écoles d’été ont pour but d’initier de nouveaux partenariats ou de nouvelles formations et que le projet REAL@SU prendra fin en juin 2029, l’année 2025 est la dernière année pendant laquelle il sera possible de demander des financements pour des écoles d’été et celles-ci devront se tenir au plus tard en 2026 ou 2027.</w:t>
      </w:r>
    </w:p>
    <w:p w14:paraId="2DA40AA3" w14:textId="77777777" w:rsidR="008C47C7" w:rsidRDefault="008C47C7" w:rsidP="004D3121">
      <w:pPr>
        <w:rPr>
          <w:sz w:val="22"/>
        </w:rPr>
      </w:pPr>
    </w:p>
    <w:p w14:paraId="363AFA9F" w14:textId="4351C80B" w:rsidR="008C47C7" w:rsidRDefault="008C47C7" w:rsidP="008C47C7">
      <w:pPr>
        <w:rPr>
          <w:sz w:val="22"/>
        </w:rPr>
      </w:pPr>
      <w:r>
        <w:rPr>
          <w:sz w:val="22"/>
        </w:rPr>
        <w:t xml:space="preserve">Pour les </w:t>
      </w:r>
      <w:r>
        <w:rPr>
          <w:b/>
          <w:bCs/>
          <w:sz w:val="22"/>
          <w:u w:val="single"/>
        </w:rPr>
        <w:t>bourses de mobilité</w:t>
      </w:r>
      <w:r>
        <w:rPr>
          <w:sz w:val="22"/>
        </w:rPr>
        <w:t>, il est impératif de préciser le montant souhaité. Les arbitrages seront effectués a posteriori en lien avec les niveaux facultaires</w:t>
      </w:r>
      <w:r w:rsidR="00DE5427">
        <w:rPr>
          <w:sz w:val="22"/>
        </w:rPr>
        <w:t xml:space="preserve"> </w:t>
      </w:r>
      <w:r w:rsidR="00DE5427">
        <w:rPr>
          <w:sz w:val="22"/>
        </w:rPr>
        <w:t>et les établissements partenaires</w:t>
      </w:r>
      <w:r>
        <w:rPr>
          <w:sz w:val="22"/>
        </w:rPr>
        <w:t xml:space="preserve">. </w:t>
      </w:r>
    </w:p>
    <w:p w14:paraId="4BC741FA" w14:textId="77777777" w:rsidR="008C47C7" w:rsidRDefault="008C47C7" w:rsidP="004D3121">
      <w:pPr>
        <w:rPr>
          <w:sz w:val="22"/>
        </w:rPr>
      </w:pPr>
    </w:p>
    <w:p w14:paraId="32F24645" w14:textId="28F15961" w:rsidR="008C47C7" w:rsidRDefault="008C47C7" w:rsidP="004D3121">
      <w:pPr>
        <w:rPr>
          <w:sz w:val="22"/>
        </w:rPr>
      </w:pPr>
      <w:r>
        <w:rPr>
          <w:noProof/>
        </w:rPr>
        <w:drawing>
          <wp:inline distT="0" distB="0" distL="0" distR="0" wp14:anchorId="43EEB8B9" wp14:editId="38316DBF">
            <wp:extent cx="3924300" cy="56197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24300" cy="561975"/>
                    </a:xfrm>
                    <a:prstGeom prst="rect">
                      <a:avLst/>
                    </a:prstGeom>
                  </pic:spPr>
                </pic:pic>
              </a:graphicData>
            </a:graphic>
          </wp:inline>
        </w:drawing>
      </w:r>
    </w:p>
    <w:p w14:paraId="4DFEA532" w14:textId="2F84A20A" w:rsidR="008C47C7" w:rsidRDefault="008C47C7" w:rsidP="004D3121">
      <w:pPr>
        <w:rPr>
          <w:sz w:val="22"/>
        </w:rPr>
      </w:pPr>
    </w:p>
    <w:p w14:paraId="0E49331A" w14:textId="434E72D7" w:rsidR="008C47C7" w:rsidRPr="004D3121" w:rsidRDefault="008C47C7" w:rsidP="004D3121">
      <w:pPr>
        <w:rPr>
          <w:sz w:val="22"/>
        </w:rPr>
      </w:pPr>
      <w:r>
        <w:rPr>
          <w:sz w:val="22"/>
        </w:rPr>
        <w:t xml:space="preserve">Les </w:t>
      </w:r>
      <w:r w:rsidRPr="008C47C7">
        <w:rPr>
          <w:b/>
          <w:bCs/>
          <w:sz w:val="22"/>
          <w:u w:val="single"/>
        </w:rPr>
        <w:t xml:space="preserve">frais de gestion </w:t>
      </w:r>
      <w:r>
        <w:rPr>
          <w:sz w:val="22"/>
        </w:rPr>
        <w:t>sont calculés automatiquement.</w:t>
      </w:r>
    </w:p>
    <w:sectPr w:rsidR="008C47C7" w:rsidRPr="004D3121" w:rsidSect="005E183C">
      <w:headerReference w:type="default" r:id="rId14"/>
      <w:footerReference w:type="default" r:id="rId15"/>
      <w:pgSz w:w="11906" w:h="16838" w:code="9"/>
      <w:pgMar w:top="3119" w:right="1134" w:bottom="170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C60B" w14:textId="77777777" w:rsidR="00531BAC" w:rsidRDefault="00531BAC" w:rsidP="002F1867">
      <w:r>
        <w:separator/>
      </w:r>
    </w:p>
  </w:endnote>
  <w:endnote w:type="continuationSeparator" w:id="0">
    <w:p w14:paraId="285E5E4D" w14:textId="77777777" w:rsidR="00531BAC" w:rsidRDefault="00531BAC" w:rsidP="002F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51916"/>
      <w:docPartObj>
        <w:docPartGallery w:val="Page Numbers (Bottom of Page)"/>
        <w:docPartUnique/>
      </w:docPartObj>
    </w:sdtPr>
    <w:sdtEndPr/>
    <w:sdtContent>
      <w:p w14:paraId="286505FD" w14:textId="0AA5B169" w:rsidR="00BD0DC2" w:rsidRDefault="00BD0DC2">
        <w:pPr>
          <w:pStyle w:val="Pieddepage"/>
          <w:jc w:val="right"/>
        </w:pPr>
        <w:r>
          <w:fldChar w:fldCharType="begin"/>
        </w:r>
        <w:r>
          <w:instrText>PAGE   \* MERGEFORMAT</w:instrText>
        </w:r>
        <w:r>
          <w:fldChar w:fldCharType="separate"/>
        </w:r>
        <w:r>
          <w:t>2</w:t>
        </w:r>
        <w:r>
          <w:fldChar w:fldCharType="end"/>
        </w:r>
      </w:p>
    </w:sdtContent>
  </w:sdt>
  <w:p w14:paraId="2F5EACCE" w14:textId="3E7AB8F6" w:rsidR="000C1944" w:rsidRDefault="00BD0DC2">
    <w:pPr>
      <w:pStyle w:val="Pieddepage"/>
    </w:pPr>
    <w:r>
      <w:t>Cellule de soutien aux structures de l’Alliance Sorbonne Université - Eleonora BUSI</w:t>
    </w:r>
    <w:r w:rsidR="00480BAA">
      <w:t xml:space="preserve"> – </w:t>
    </w:r>
    <w:r w:rsidR="00AC704E">
      <w:t>4 février</w:t>
    </w:r>
    <w:r w:rsidR="00480BAA">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B022" w14:textId="77777777" w:rsidR="00531BAC" w:rsidRDefault="00531BAC" w:rsidP="002F1867">
      <w:r>
        <w:separator/>
      </w:r>
    </w:p>
  </w:footnote>
  <w:footnote w:type="continuationSeparator" w:id="0">
    <w:p w14:paraId="3BA788E8" w14:textId="77777777" w:rsidR="00531BAC" w:rsidRDefault="00531BAC" w:rsidP="002F1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546"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73"/>
      <w:gridCol w:w="5273"/>
    </w:tblGrid>
    <w:tr w:rsidR="005E183C" w14:paraId="6C516FD3" w14:textId="77777777" w:rsidTr="00BD0DC2">
      <w:tc>
        <w:tcPr>
          <w:tcW w:w="5273" w:type="dxa"/>
        </w:tcPr>
        <w:p w14:paraId="69B284C0" w14:textId="26939865" w:rsidR="005E183C" w:rsidRDefault="00480BAA" w:rsidP="005E183C">
          <w:pPr>
            <w:pStyle w:val="En-tte"/>
          </w:pPr>
          <w:r>
            <w:rPr>
              <w:noProof/>
            </w:rPr>
            <w:drawing>
              <wp:inline distT="0" distB="0" distL="0" distR="0" wp14:anchorId="074A300A" wp14:editId="58AC1CEE">
                <wp:extent cx="2362200" cy="10477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019" cy="1048113"/>
                        </a:xfrm>
                        <a:prstGeom prst="rect">
                          <a:avLst/>
                        </a:prstGeom>
                        <a:noFill/>
                        <a:ln>
                          <a:noFill/>
                        </a:ln>
                      </pic:spPr>
                    </pic:pic>
                  </a:graphicData>
                </a:graphic>
              </wp:inline>
            </w:drawing>
          </w:r>
        </w:p>
      </w:tc>
      <w:tc>
        <w:tcPr>
          <w:tcW w:w="5273" w:type="dxa"/>
        </w:tcPr>
        <w:p w14:paraId="009B9936" w14:textId="02E1179B" w:rsidR="005E183C" w:rsidRDefault="005E183C" w:rsidP="005E183C">
          <w:pPr>
            <w:pStyle w:val="En-tte"/>
            <w:jc w:val="right"/>
          </w:pPr>
        </w:p>
      </w:tc>
    </w:tr>
  </w:tbl>
  <w:p w14:paraId="0B3BEF3D" w14:textId="3CC168FB" w:rsidR="005E183C" w:rsidRDefault="005E183C" w:rsidP="005E183C">
    <w:pPr>
      <w:pStyle w:val="En-tte"/>
      <w:ind w:left="-4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47A39"/>
    <w:multiLevelType w:val="hybridMultilevel"/>
    <w:tmpl w:val="ADFC2D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FF4EDA"/>
    <w:multiLevelType w:val="hybridMultilevel"/>
    <w:tmpl w:val="77C2CE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BF6588"/>
    <w:multiLevelType w:val="hybridMultilevel"/>
    <w:tmpl w:val="350A11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4C3C5A"/>
    <w:multiLevelType w:val="hybridMultilevel"/>
    <w:tmpl w:val="347493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FE65E0"/>
    <w:multiLevelType w:val="hybridMultilevel"/>
    <w:tmpl w:val="561AB3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6267D0"/>
    <w:multiLevelType w:val="hybridMultilevel"/>
    <w:tmpl w:val="B72A39FC"/>
    <w:lvl w:ilvl="0" w:tplc="B4EC3C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8E5A51"/>
    <w:multiLevelType w:val="hybridMultilevel"/>
    <w:tmpl w:val="5FCCB4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AE725C"/>
    <w:multiLevelType w:val="hybridMultilevel"/>
    <w:tmpl w:val="E22442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C20FFC"/>
    <w:multiLevelType w:val="hybridMultilevel"/>
    <w:tmpl w:val="B6BCEB66"/>
    <w:lvl w:ilvl="0" w:tplc="39608EC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8"/>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377"/>
    <w:rsid w:val="000732EC"/>
    <w:rsid w:val="00073F15"/>
    <w:rsid w:val="000A6B46"/>
    <w:rsid w:val="000C1944"/>
    <w:rsid w:val="000E2E82"/>
    <w:rsid w:val="001215D8"/>
    <w:rsid w:val="00151821"/>
    <w:rsid w:val="001C54F3"/>
    <w:rsid w:val="001E017F"/>
    <w:rsid w:val="00294145"/>
    <w:rsid w:val="002D09E8"/>
    <w:rsid w:val="002F1867"/>
    <w:rsid w:val="003026C3"/>
    <w:rsid w:val="00412EB4"/>
    <w:rsid w:val="00480BAA"/>
    <w:rsid w:val="004B67BB"/>
    <w:rsid w:val="004D3121"/>
    <w:rsid w:val="00531BAC"/>
    <w:rsid w:val="0053505C"/>
    <w:rsid w:val="00596342"/>
    <w:rsid w:val="005E183C"/>
    <w:rsid w:val="00646166"/>
    <w:rsid w:val="00655A10"/>
    <w:rsid w:val="00671DFF"/>
    <w:rsid w:val="00702765"/>
    <w:rsid w:val="00725495"/>
    <w:rsid w:val="00727A7C"/>
    <w:rsid w:val="00742A95"/>
    <w:rsid w:val="00771E85"/>
    <w:rsid w:val="0081780F"/>
    <w:rsid w:val="00877117"/>
    <w:rsid w:val="008C47C7"/>
    <w:rsid w:val="009639E5"/>
    <w:rsid w:val="009C0E26"/>
    <w:rsid w:val="00A10205"/>
    <w:rsid w:val="00A17A6A"/>
    <w:rsid w:val="00AC704E"/>
    <w:rsid w:val="00AD142A"/>
    <w:rsid w:val="00B15F1E"/>
    <w:rsid w:val="00B40FEB"/>
    <w:rsid w:val="00B5080A"/>
    <w:rsid w:val="00B73F37"/>
    <w:rsid w:val="00BC3477"/>
    <w:rsid w:val="00BD0DC2"/>
    <w:rsid w:val="00C62ADC"/>
    <w:rsid w:val="00CD16AA"/>
    <w:rsid w:val="00CE790B"/>
    <w:rsid w:val="00CF1062"/>
    <w:rsid w:val="00D22ECE"/>
    <w:rsid w:val="00D54C2A"/>
    <w:rsid w:val="00D55D89"/>
    <w:rsid w:val="00D95410"/>
    <w:rsid w:val="00DB0FA8"/>
    <w:rsid w:val="00DD23AB"/>
    <w:rsid w:val="00DE5427"/>
    <w:rsid w:val="00E23255"/>
    <w:rsid w:val="00EC3676"/>
    <w:rsid w:val="00EE1FB6"/>
    <w:rsid w:val="00EF06A0"/>
    <w:rsid w:val="00F06377"/>
    <w:rsid w:val="00F071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6AA52"/>
  <w15:docId w15:val="{092BAC5C-3AB9-466C-8B55-6B4B560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3C"/>
    <w:pPr>
      <w:jc w:val="both"/>
    </w:pPr>
    <w:rPr>
      <w:sz w:val="18"/>
    </w:rPr>
  </w:style>
  <w:style w:type="paragraph" w:styleId="Titre1">
    <w:name w:val="heading 1"/>
    <w:basedOn w:val="Normal"/>
    <w:next w:val="Normal"/>
    <w:link w:val="Titre1Car"/>
    <w:uiPriority w:val="9"/>
    <w:qFormat/>
    <w:rsid w:val="00C62ADC"/>
    <w:pPr>
      <w:keepNext/>
      <w:keepLines/>
      <w:spacing w:before="240"/>
      <w:outlineLvl w:val="0"/>
    </w:pPr>
    <w:rPr>
      <w:rFonts w:asciiTheme="majorHAnsi" w:eastAsiaTheme="majorEastAsia" w:hAnsiTheme="majorHAnsi" w:cstheme="majorBidi"/>
      <w:color w:val="B61D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46"/>
    <w:pPr>
      <w:jc w:val="left"/>
    </w:pPr>
    <w:rPr>
      <w:color w:val="1D2769" w:themeColor="text2"/>
      <w:sz w:val="14"/>
    </w:rPr>
  </w:style>
  <w:style w:type="character" w:customStyle="1" w:styleId="En-tteCar">
    <w:name w:val="En-tête Car"/>
    <w:basedOn w:val="Policepardfaut"/>
    <w:link w:val="En-tte"/>
    <w:uiPriority w:val="99"/>
    <w:rsid w:val="000A6B46"/>
    <w:rPr>
      <w:color w:val="1D2769" w:themeColor="text2"/>
      <w:sz w:val="14"/>
    </w:rPr>
  </w:style>
  <w:style w:type="paragraph" w:styleId="Pieddepage">
    <w:name w:val="footer"/>
    <w:basedOn w:val="Normal"/>
    <w:link w:val="PieddepageCar"/>
    <w:uiPriority w:val="99"/>
    <w:unhideWhenUsed/>
    <w:rsid w:val="002F1867"/>
    <w:pPr>
      <w:spacing w:line="167" w:lineRule="exact"/>
      <w:jc w:val="left"/>
    </w:pPr>
    <w:rPr>
      <w:color w:val="1D2769" w:themeColor="text2"/>
      <w:sz w:val="14"/>
    </w:rPr>
  </w:style>
  <w:style w:type="character" w:customStyle="1" w:styleId="PieddepageCar">
    <w:name w:val="Pied de page Car"/>
    <w:basedOn w:val="Policepardfaut"/>
    <w:link w:val="Pieddepage"/>
    <w:uiPriority w:val="99"/>
    <w:rsid w:val="002F1867"/>
    <w:rPr>
      <w:color w:val="1D2769" w:themeColor="text2"/>
      <w:sz w:val="14"/>
    </w:rPr>
  </w:style>
  <w:style w:type="paragraph" w:styleId="Textedebulles">
    <w:name w:val="Balloon Text"/>
    <w:basedOn w:val="Normal"/>
    <w:link w:val="TextedebullesCar"/>
    <w:uiPriority w:val="99"/>
    <w:semiHidden/>
    <w:unhideWhenUsed/>
    <w:rsid w:val="000A6B46"/>
    <w:rPr>
      <w:rFonts w:ascii="Tahoma" w:hAnsi="Tahoma" w:cs="Tahoma"/>
      <w:sz w:val="16"/>
      <w:szCs w:val="16"/>
    </w:rPr>
  </w:style>
  <w:style w:type="character" w:customStyle="1" w:styleId="TextedebullesCar">
    <w:name w:val="Texte de bulles Car"/>
    <w:basedOn w:val="Policepardfaut"/>
    <w:link w:val="Textedebulles"/>
    <w:uiPriority w:val="99"/>
    <w:semiHidden/>
    <w:rsid w:val="000A6B46"/>
    <w:rPr>
      <w:rFonts w:ascii="Tahoma" w:hAnsi="Tahoma" w:cs="Tahoma"/>
      <w:sz w:val="16"/>
      <w:szCs w:val="16"/>
    </w:rPr>
  </w:style>
  <w:style w:type="table" w:styleId="Grilledutableau">
    <w:name w:val="Table Grid"/>
    <w:basedOn w:val="TableauNormal"/>
    <w:uiPriority w:val="59"/>
    <w:rsid w:val="000A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1821"/>
    <w:rPr>
      <w:color w:val="E6332A" w:themeColor="hyperlink"/>
      <w:u w:val="none"/>
    </w:rPr>
  </w:style>
  <w:style w:type="character" w:styleId="Lienhypertextesuivivisit">
    <w:name w:val="FollowedHyperlink"/>
    <w:basedOn w:val="Policepardfaut"/>
    <w:uiPriority w:val="99"/>
    <w:semiHidden/>
    <w:unhideWhenUsed/>
    <w:rsid w:val="00151821"/>
    <w:rPr>
      <w:color w:val="E6332A" w:themeColor="followedHyperlink"/>
      <w:u w:val="none"/>
    </w:rPr>
  </w:style>
  <w:style w:type="paragraph" w:styleId="Paragraphedeliste">
    <w:name w:val="List Paragraph"/>
    <w:basedOn w:val="Normal"/>
    <w:uiPriority w:val="34"/>
    <w:qFormat/>
    <w:rsid w:val="000732EC"/>
    <w:pPr>
      <w:ind w:left="720"/>
      <w:contextualSpacing/>
    </w:pPr>
  </w:style>
  <w:style w:type="character" w:customStyle="1" w:styleId="hgkelc">
    <w:name w:val="hgkelc"/>
    <w:basedOn w:val="Policepardfaut"/>
    <w:rsid w:val="00C62ADC"/>
  </w:style>
  <w:style w:type="paragraph" w:styleId="NormalWeb">
    <w:name w:val="Normal (Web)"/>
    <w:basedOn w:val="Normal"/>
    <w:uiPriority w:val="99"/>
    <w:semiHidden/>
    <w:unhideWhenUsed/>
    <w:rsid w:val="00C62ADC"/>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C62AD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2ADC"/>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62ADC"/>
    <w:rPr>
      <w:rFonts w:asciiTheme="majorHAnsi" w:eastAsiaTheme="majorEastAsia" w:hAnsiTheme="majorHAnsi" w:cstheme="majorBidi"/>
      <w:color w:val="B61D1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584">
      <w:bodyDiv w:val="1"/>
      <w:marLeft w:val="0"/>
      <w:marRight w:val="0"/>
      <w:marTop w:val="0"/>
      <w:marBottom w:val="0"/>
      <w:divBdr>
        <w:top w:val="none" w:sz="0" w:space="0" w:color="auto"/>
        <w:left w:val="none" w:sz="0" w:space="0" w:color="auto"/>
        <w:bottom w:val="none" w:sz="0" w:space="0" w:color="auto"/>
        <w:right w:val="none" w:sz="0" w:space="0" w:color="auto"/>
      </w:divBdr>
    </w:div>
    <w:div w:id="1282806031">
      <w:bodyDiv w:val="1"/>
      <w:marLeft w:val="0"/>
      <w:marRight w:val="0"/>
      <w:marTop w:val="0"/>
      <w:marBottom w:val="0"/>
      <w:divBdr>
        <w:top w:val="none" w:sz="0" w:space="0" w:color="auto"/>
        <w:left w:val="none" w:sz="0" w:space="0" w:color="auto"/>
        <w:bottom w:val="none" w:sz="0" w:space="0" w:color="auto"/>
        <w:right w:val="none" w:sz="0" w:space="0" w:color="auto"/>
      </w:divBdr>
    </w:div>
    <w:div w:id="214264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si\Downloads\Sorbonne%20Universit&#233;%20NOTE.dotx" TargetMode="External"/></Relationships>
</file>

<file path=word/theme/theme1.xml><?xml version="1.0" encoding="utf-8"?>
<a:theme xmlns:a="http://schemas.openxmlformats.org/drawingml/2006/main" name="Thème Office">
  <a:themeElements>
    <a:clrScheme name="Sorbonne Université_Couleurs">
      <a:dk1>
        <a:sysClr val="windowText" lastClr="000000"/>
      </a:dk1>
      <a:lt1>
        <a:sysClr val="window" lastClr="FFFFFF"/>
      </a:lt1>
      <a:dk2>
        <a:srgbClr val="1D2769"/>
      </a:dk2>
      <a:lt2>
        <a:srgbClr val="EAE8E5"/>
      </a:lt2>
      <a:accent1>
        <a:srgbClr val="E6332A"/>
      </a:accent1>
      <a:accent2>
        <a:srgbClr val="1D2769"/>
      </a:accent2>
      <a:accent3>
        <a:srgbClr val="52B5E5"/>
      </a:accent3>
      <a:accent4>
        <a:srgbClr val="FFB700"/>
      </a:accent4>
      <a:accent5>
        <a:srgbClr val="AC182E"/>
      </a:accent5>
      <a:accent6>
        <a:srgbClr val="58585A"/>
      </a:accent6>
      <a:hlink>
        <a:srgbClr val="E6332A"/>
      </a:hlink>
      <a:folHlink>
        <a:srgbClr val="E6332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Sorbonne Université NOTE</Template>
  <TotalTime>17</TotalTime>
  <Pages>1</Pages>
  <Words>308</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Fond de page</vt:lpstr>
    </vt:vector>
  </TitlesOfParts>
  <Company>Sorbonne Université</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de page</dc:title>
  <dc:creator>BUSI Eleonora</dc:creator>
  <cp:lastModifiedBy>BUSI Eleonora</cp:lastModifiedBy>
  <cp:revision>6</cp:revision>
  <dcterms:created xsi:type="dcterms:W3CDTF">2025-03-05T10:09:00Z</dcterms:created>
  <dcterms:modified xsi:type="dcterms:W3CDTF">2025-03-05T13:28:00Z</dcterms:modified>
</cp:coreProperties>
</file>